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CHILDHOOD CANCER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COORDINATO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The Childhood Cancer Coordinator educates and supports Lions and Leos engaged or interested in projects to expand access to life-saving treatment and provide support to the children and families who face childhood cancers. They may collaborate with leadership throughout the organization, including the Global Service Team (GST).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 Website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www.lionsclubs.org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 Resource Center / Leaders / Multiple District &amp; District / Childhood Cancer Chairperson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 Resource Center / Service / Global Causes &amp; Initiatives  / Childhood Cancer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444746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The Childhood Cancer Coordinator is appointed by the district governor.  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rtl w:val="0"/>
        </w:rPr>
        <w:t xml:space="preserve">The coordinator must be a member in good standing of a District 14-C Lions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 all clubs in District 14-C to participate in childhood cancer programs and projects.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informational programs to interested clubs about childhood cancer along with ideas for potential service projects. 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Share promotional materials, ideas, available programs and other resources on childhood cancer awareness, prevention, and control. Utilize the LI Childhood Cancer Project Idea List and Childhood Cancer Project Blueprints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with Zone Chairpersons to develop and promote service initiatives at the zone and/or county level, ideally on or near International Childhood Cancer Day in February. 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Contribute ideas on ways to celebrate progress and success through recognition of  participating clubs.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 information about childhood cancer initiatives at district cabinet meetings and in the district newsletter as needed and appropriate.  Share news about childhood cancer projects with the District 14-C Marketing and Communications Chairperson for publication on district media forums.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and prioritize district programs, initiatives and organizations related to childhood cancer for clubs and districts to support.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Formalize partnerships with other organizations to enhance local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Evaluate the effectiveness of current projects; develop goals and an overall action plan.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club and individual donations to the Four Diamonds through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 Lions Care - For The Kids.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funding opportunities offered through LI and LCIF that might support club/district childhood cancer projects.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 clubs to report their childhood cancer projects using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Lion Portal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Recruit volunteers as needed to assist with district -wide, county-wide or zone projects.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Approval - April 5, 2025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of 2</w:t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Draft 2:  February 14, 2025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2</w:t>
      <w:tab/>
      <w:tab/>
      <w:tab/>
      <w:tab/>
      <w:tab/>
      <w:tab/>
      <w:tab/>
      <w:tab/>
      <w:t xml:space="preserve">Approved:  April 5, 2025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350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lionsclubs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